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F0E87" w14:textId="77777777" w:rsidR="00E85617" w:rsidRPr="00E85617" w:rsidRDefault="00E85617" w:rsidP="00E85617">
      <w:pPr>
        <w:pStyle w:val="NormalWeb"/>
        <w:rPr>
          <w:rFonts w:ascii="Arial" w:hAnsi="Arial" w:cs="Arial"/>
        </w:rPr>
      </w:pPr>
      <w:r w:rsidRPr="00E85617">
        <w:rPr>
          <w:rFonts w:ascii="Arial" w:hAnsi="Arial" w:cs="Arial"/>
          <w:b/>
          <w:bCs/>
        </w:rPr>
        <w:t xml:space="preserve">Revisioning Australia’s War Art: Four Painters as Citizens of the ‘Global South’ </w:t>
      </w:r>
    </w:p>
    <w:p w14:paraId="2B9D2F4E" w14:textId="2B7AE74B" w:rsidR="00E85617" w:rsidRPr="00E85617" w:rsidRDefault="00E85617" w:rsidP="00E85617">
      <w:pPr>
        <w:pStyle w:val="NormalWeb"/>
        <w:rPr>
          <w:rFonts w:ascii="Arial" w:hAnsi="Arial" w:cs="Arial"/>
        </w:rPr>
      </w:pPr>
      <w:r>
        <w:rPr>
          <w:rFonts w:ascii="Arial" w:hAnsi="Arial" w:cs="Arial"/>
        </w:rPr>
        <w:t xml:space="preserve">Paul Gough, </w:t>
      </w:r>
      <w:r w:rsidRPr="00E85617">
        <w:rPr>
          <w:rFonts w:ascii="Arial" w:hAnsi="Arial" w:cs="Arial"/>
        </w:rPr>
        <w:t>Lyndell Brown, Charles Green</w:t>
      </w:r>
      <w:r w:rsidRPr="00E85617">
        <w:rPr>
          <w:rFonts w:ascii="Arial" w:hAnsi="Arial" w:cs="Arial"/>
        </w:rPr>
        <w:t xml:space="preserve">, </w:t>
      </w:r>
      <w:r w:rsidRPr="00E85617">
        <w:rPr>
          <w:rFonts w:ascii="Arial" w:hAnsi="Arial" w:cs="Arial"/>
        </w:rPr>
        <w:t xml:space="preserve">Jon </w:t>
      </w:r>
      <w:proofErr w:type="spellStart"/>
      <w:r w:rsidRPr="00E85617">
        <w:rPr>
          <w:rFonts w:ascii="Arial" w:hAnsi="Arial" w:cs="Arial"/>
        </w:rPr>
        <w:t>Cattapan</w:t>
      </w:r>
      <w:proofErr w:type="spellEnd"/>
    </w:p>
    <w:p w14:paraId="52E5B3B7" w14:textId="482C8A25" w:rsidR="004171C0" w:rsidRPr="00E85617" w:rsidRDefault="004171C0">
      <w:pPr>
        <w:rPr>
          <w:rFonts w:ascii="Arial" w:hAnsi="Arial" w:cs="Arial"/>
        </w:rPr>
      </w:pPr>
      <w:r w:rsidRPr="00E85617">
        <w:rPr>
          <w:rFonts w:ascii="Arial" w:hAnsi="Arial" w:cs="Arial"/>
          <w:bCs/>
          <w:i/>
          <w:color w:val="000000" w:themeColor="text1"/>
          <w:lang w:eastAsia="en-AU"/>
        </w:rPr>
        <w:t xml:space="preserve">Humanities: </w:t>
      </w:r>
      <w:r w:rsidRPr="00E85617">
        <w:rPr>
          <w:rFonts w:ascii="Arial" w:hAnsi="Arial" w:cs="Arial"/>
          <w:bCs/>
          <w:i/>
          <w:color w:val="000000" w:themeColor="text1"/>
          <w:kern w:val="36"/>
        </w:rPr>
        <w:t xml:space="preserve">Special Issue ‘Pictures and Conflicts since 1945’, </w:t>
      </w:r>
      <w:r w:rsidRPr="00E85617">
        <w:rPr>
          <w:rFonts w:ascii="Arial" w:hAnsi="Arial" w:cs="Arial"/>
          <w:bCs/>
          <w:color w:val="000000" w:themeColor="text1"/>
          <w:kern w:val="36"/>
        </w:rPr>
        <w:t>2018,</w:t>
      </w:r>
      <w:r w:rsidRPr="00E85617">
        <w:rPr>
          <w:rFonts w:ascii="Arial" w:hAnsi="Arial" w:cs="Arial"/>
          <w:bCs/>
          <w:i/>
          <w:color w:val="000000" w:themeColor="text1"/>
          <w:kern w:val="36"/>
        </w:rPr>
        <w:t xml:space="preserve"> </w:t>
      </w:r>
      <w:r w:rsidRPr="00E85617">
        <w:rPr>
          <w:rFonts w:ascii="Arial" w:hAnsi="Arial" w:cs="Arial"/>
          <w:bCs/>
          <w:color w:val="000000" w:themeColor="text1"/>
          <w:shd w:val="clear" w:color="auto" w:fill="FFFFFF"/>
        </w:rPr>
        <w:t>ISSN 2076-0787.</w:t>
      </w:r>
    </w:p>
    <w:p w14:paraId="178DA7B8" w14:textId="77777777" w:rsidR="00B645D6" w:rsidRPr="00E85617" w:rsidRDefault="00B645D6" w:rsidP="004171C0">
      <w:pPr>
        <w:rPr>
          <w:rFonts w:ascii="Arial" w:hAnsi="Arial" w:cs="Arial"/>
          <w:color w:val="000000" w:themeColor="text1"/>
        </w:rPr>
      </w:pPr>
    </w:p>
    <w:p w14:paraId="3A7B327E" w14:textId="77777777" w:rsidR="00B645D6" w:rsidRDefault="00B645D6" w:rsidP="00B645D6">
      <w:pPr>
        <w:ind w:left="-284" w:right="-330"/>
        <w:rPr>
          <w:rFonts w:ascii="Arial" w:hAnsi="Arial" w:cs="Arial"/>
          <w:bCs/>
          <w:color w:val="000000" w:themeColor="text1"/>
          <w:sz w:val="22"/>
          <w:szCs w:val="22"/>
          <w:shd w:val="clear" w:color="auto" w:fill="FFFFFF"/>
        </w:rPr>
      </w:pPr>
      <w:r>
        <w:rPr>
          <w:rFonts w:ascii="Arial" w:hAnsi="Arial" w:cs="Arial"/>
          <w:color w:val="000000" w:themeColor="text1"/>
          <w:sz w:val="22"/>
          <w:szCs w:val="22"/>
        </w:rPr>
        <w:t xml:space="preserve">As part of a </w:t>
      </w:r>
      <w:r w:rsidR="004171C0" w:rsidRPr="00163848">
        <w:rPr>
          <w:rFonts w:ascii="Arial" w:hAnsi="Arial" w:cs="Arial"/>
          <w:color w:val="000000" w:themeColor="text1"/>
          <w:sz w:val="22"/>
          <w:szCs w:val="22"/>
        </w:rPr>
        <w:t>three-year Australian Research Council Discovery Project Grant, 2017-2019, ‘World Pictures: pathfinding across a century of wars, 1917-2017’ (ARC DP170101912, $296,000) which brought together four artists with experience in working with the military and as war artists</w:t>
      </w:r>
      <w:r>
        <w:rPr>
          <w:rFonts w:ascii="Arial" w:hAnsi="Arial" w:cs="Arial"/>
          <w:color w:val="000000" w:themeColor="text1"/>
          <w:sz w:val="22"/>
          <w:szCs w:val="22"/>
        </w:rPr>
        <w:t xml:space="preserve">, Gough was co-author of </w:t>
      </w:r>
      <w:r w:rsidRPr="00163848">
        <w:rPr>
          <w:rFonts w:ascii="Arial" w:hAnsi="Arial" w:cs="Arial"/>
          <w:bCs/>
          <w:i/>
          <w:color w:val="000000" w:themeColor="text1"/>
          <w:sz w:val="22"/>
          <w:szCs w:val="22"/>
        </w:rPr>
        <w:t>‘</w:t>
      </w:r>
      <w:r w:rsidRPr="00163848">
        <w:rPr>
          <w:rFonts w:ascii="Arial" w:hAnsi="Arial" w:cs="Arial"/>
          <w:bCs/>
          <w:color w:val="000000" w:themeColor="text1"/>
          <w:sz w:val="22"/>
          <w:szCs w:val="22"/>
        </w:rPr>
        <w:t xml:space="preserve">Revisioning Australia’s war art: four painters as </w:t>
      </w:r>
      <w:r w:rsidRPr="00163848">
        <w:rPr>
          <w:rFonts w:ascii="Arial" w:hAnsi="Arial" w:cs="Arial"/>
          <w:bCs/>
          <w:color w:val="000000" w:themeColor="text1"/>
          <w:sz w:val="22"/>
          <w:szCs w:val="22"/>
          <w:lang w:eastAsia="en-AU"/>
        </w:rPr>
        <w:t xml:space="preserve">citizens of the ‘global South’, </w:t>
      </w:r>
      <w:r w:rsidRPr="00163848">
        <w:rPr>
          <w:rFonts w:ascii="Arial" w:hAnsi="Arial" w:cs="Arial"/>
          <w:bCs/>
          <w:i/>
          <w:color w:val="000000" w:themeColor="text1"/>
          <w:sz w:val="22"/>
          <w:szCs w:val="22"/>
          <w:lang w:eastAsia="en-AU"/>
        </w:rPr>
        <w:t xml:space="preserve">Humanities: </w:t>
      </w:r>
      <w:r w:rsidRPr="00163848">
        <w:rPr>
          <w:rFonts w:ascii="Arial" w:hAnsi="Arial" w:cs="Arial"/>
          <w:bCs/>
          <w:i/>
          <w:color w:val="000000" w:themeColor="text1"/>
          <w:kern w:val="36"/>
          <w:sz w:val="22"/>
          <w:szCs w:val="22"/>
        </w:rPr>
        <w:t xml:space="preserve">Special Issue ‘Pictures and Conflicts since 1945’, </w:t>
      </w:r>
      <w:r w:rsidRPr="00163848">
        <w:rPr>
          <w:rFonts w:ascii="Arial" w:hAnsi="Arial" w:cs="Arial"/>
          <w:bCs/>
          <w:color w:val="000000" w:themeColor="text1"/>
          <w:kern w:val="36"/>
          <w:sz w:val="22"/>
          <w:szCs w:val="22"/>
        </w:rPr>
        <w:t>2018,</w:t>
      </w:r>
      <w:r w:rsidRPr="00163848">
        <w:rPr>
          <w:rFonts w:ascii="Arial" w:hAnsi="Arial" w:cs="Arial"/>
          <w:bCs/>
          <w:i/>
          <w:color w:val="000000" w:themeColor="text1"/>
          <w:kern w:val="36"/>
          <w:sz w:val="22"/>
          <w:szCs w:val="22"/>
        </w:rPr>
        <w:t xml:space="preserve"> </w:t>
      </w:r>
      <w:r w:rsidRPr="00163848">
        <w:rPr>
          <w:rFonts w:ascii="Arial" w:hAnsi="Arial" w:cs="Arial"/>
          <w:bCs/>
          <w:color w:val="000000" w:themeColor="text1"/>
          <w:sz w:val="22"/>
          <w:szCs w:val="22"/>
          <w:shd w:val="clear" w:color="auto" w:fill="FFFFFF"/>
        </w:rPr>
        <w:t xml:space="preserve">ISSN 2076-0787. </w:t>
      </w:r>
    </w:p>
    <w:p w14:paraId="56AD19BE" w14:textId="77777777" w:rsidR="00B645D6" w:rsidRDefault="00B645D6" w:rsidP="00B645D6">
      <w:pPr>
        <w:ind w:left="-284" w:right="-330"/>
        <w:rPr>
          <w:rFonts w:ascii="Arial" w:hAnsi="Arial" w:cs="Arial"/>
          <w:bCs/>
          <w:color w:val="000000" w:themeColor="text1"/>
          <w:sz w:val="22"/>
          <w:szCs w:val="22"/>
          <w:shd w:val="clear" w:color="auto" w:fill="FFFFFF"/>
        </w:rPr>
      </w:pPr>
    </w:p>
    <w:p w14:paraId="598717C1" w14:textId="77777777" w:rsidR="004171C0" w:rsidRPr="00163848" w:rsidRDefault="004171C0" w:rsidP="004171C0">
      <w:pPr>
        <w:ind w:left="-284" w:right="-330"/>
        <w:rPr>
          <w:rFonts w:ascii="Arial" w:hAnsi="Arial" w:cs="Arial"/>
          <w:color w:val="000000" w:themeColor="text1"/>
          <w:sz w:val="22"/>
          <w:szCs w:val="22"/>
          <w:shd w:val="clear" w:color="auto" w:fill="FFFFFF"/>
        </w:rPr>
      </w:pPr>
      <w:r w:rsidRPr="00663E19">
        <w:rPr>
          <w:rFonts w:ascii="Arial" w:hAnsi="Arial" w:cs="Arial"/>
          <w:color w:val="000000" w:themeColor="text1"/>
          <w:sz w:val="22"/>
          <w:szCs w:val="22"/>
          <w:shd w:val="clear" w:color="auto" w:fill="FFFFFF"/>
        </w:rPr>
        <w:t>Th</w:t>
      </w:r>
      <w:r w:rsidRPr="00163848">
        <w:rPr>
          <w:rFonts w:ascii="Arial" w:hAnsi="Arial" w:cs="Arial"/>
          <w:color w:val="000000" w:themeColor="text1"/>
          <w:sz w:val="22"/>
          <w:szCs w:val="22"/>
          <w:shd w:val="clear" w:color="auto" w:fill="FFFFFF"/>
        </w:rPr>
        <w:t>e</w:t>
      </w:r>
      <w:r w:rsidRPr="00663E19">
        <w:rPr>
          <w:rFonts w:ascii="Arial" w:hAnsi="Arial" w:cs="Arial"/>
          <w:color w:val="000000" w:themeColor="text1"/>
          <w:sz w:val="22"/>
          <w:szCs w:val="22"/>
          <w:shd w:val="clear" w:color="auto" w:fill="FFFFFF"/>
        </w:rPr>
        <w:t xml:space="preserve"> project aim</w:t>
      </w:r>
      <w:r w:rsidRPr="00163848">
        <w:rPr>
          <w:rFonts w:ascii="Arial" w:hAnsi="Arial" w:cs="Arial"/>
          <w:color w:val="000000" w:themeColor="text1"/>
          <w:sz w:val="22"/>
          <w:szCs w:val="22"/>
          <w:shd w:val="clear" w:color="auto" w:fill="FFFFFF"/>
        </w:rPr>
        <w:t>ed</w:t>
      </w:r>
      <w:r w:rsidRPr="00663E19">
        <w:rPr>
          <w:rFonts w:ascii="Arial" w:hAnsi="Arial" w:cs="Arial"/>
          <w:color w:val="000000" w:themeColor="text1"/>
          <w:sz w:val="22"/>
          <w:szCs w:val="22"/>
          <w:shd w:val="clear" w:color="auto" w:fill="FFFFFF"/>
        </w:rPr>
        <w:t xml:space="preserve"> to redefine war art in artistic and scholarly research. </w:t>
      </w:r>
      <w:r w:rsidRPr="00163848">
        <w:rPr>
          <w:rFonts w:ascii="Arial" w:hAnsi="Arial" w:cs="Arial"/>
          <w:color w:val="000000" w:themeColor="text1"/>
          <w:sz w:val="22"/>
          <w:szCs w:val="22"/>
          <w:shd w:val="clear" w:color="auto" w:fill="FFFFFF"/>
        </w:rPr>
        <w:t>Its premise was that p</w:t>
      </w:r>
      <w:r w:rsidRPr="00663E19">
        <w:rPr>
          <w:rFonts w:ascii="Arial" w:hAnsi="Arial" w:cs="Arial"/>
          <w:color w:val="000000" w:themeColor="text1"/>
          <w:sz w:val="22"/>
          <w:szCs w:val="22"/>
          <w:shd w:val="clear" w:color="auto" w:fill="FFFFFF"/>
        </w:rPr>
        <w:t>ublic understandings of war are significantly shaped by war art and images of war</w:t>
      </w:r>
      <w:r w:rsidRPr="00163848">
        <w:rPr>
          <w:rFonts w:ascii="Arial" w:hAnsi="Arial" w:cs="Arial"/>
          <w:color w:val="000000" w:themeColor="text1"/>
          <w:sz w:val="22"/>
          <w:szCs w:val="22"/>
          <w:shd w:val="clear" w:color="auto" w:fill="FFFFFF"/>
        </w:rPr>
        <w:t xml:space="preserve"> and aimed to </w:t>
      </w:r>
      <w:r w:rsidRPr="00663E19">
        <w:rPr>
          <w:rFonts w:ascii="Arial" w:hAnsi="Arial" w:cs="Arial"/>
          <w:color w:val="000000" w:themeColor="text1"/>
          <w:sz w:val="22"/>
          <w:szCs w:val="22"/>
          <w:shd w:val="clear" w:color="auto" w:fill="FFFFFF"/>
        </w:rPr>
        <w:t>investigate the artistic potential of scholars’ methodologies –timelines and the atlas form – to revise the Australian understanding of the century-long and global aftermath of war from WW1 into the present</w:t>
      </w:r>
      <w:r w:rsidRPr="00163848">
        <w:rPr>
          <w:rFonts w:ascii="Arial" w:hAnsi="Arial" w:cs="Arial"/>
          <w:color w:val="000000" w:themeColor="text1"/>
          <w:sz w:val="22"/>
          <w:szCs w:val="22"/>
          <w:shd w:val="clear" w:color="auto" w:fill="FFFFFF"/>
        </w:rPr>
        <w:t xml:space="preserve">. Through presentations, papers and </w:t>
      </w:r>
      <w:r w:rsidRPr="00663E19">
        <w:rPr>
          <w:rFonts w:ascii="Arial" w:hAnsi="Arial" w:cs="Arial"/>
          <w:color w:val="000000" w:themeColor="text1"/>
          <w:sz w:val="22"/>
          <w:szCs w:val="22"/>
          <w:shd w:val="clear" w:color="auto" w:fill="FFFFFF"/>
        </w:rPr>
        <w:t>exhibitions of new art</w:t>
      </w:r>
      <w:r w:rsidRPr="00163848">
        <w:rPr>
          <w:rFonts w:ascii="Arial" w:hAnsi="Arial" w:cs="Arial"/>
          <w:color w:val="000000" w:themeColor="text1"/>
          <w:sz w:val="22"/>
          <w:szCs w:val="22"/>
          <w:shd w:val="clear" w:color="auto" w:fill="FFFFFF"/>
        </w:rPr>
        <w:t xml:space="preserve"> t</w:t>
      </w:r>
      <w:r w:rsidRPr="00663E19">
        <w:rPr>
          <w:rFonts w:ascii="Arial" w:hAnsi="Arial" w:cs="Arial"/>
          <w:color w:val="000000" w:themeColor="text1"/>
          <w:sz w:val="22"/>
          <w:szCs w:val="22"/>
          <w:shd w:val="clear" w:color="auto" w:fill="FFFFFF"/>
        </w:rPr>
        <w:t>he project investigate</w:t>
      </w:r>
      <w:r w:rsidRPr="00163848">
        <w:rPr>
          <w:rFonts w:ascii="Arial" w:hAnsi="Arial" w:cs="Arial"/>
          <w:color w:val="000000" w:themeColor="text1"/>
          <w:sz w:val="22"/>
          <w:szCs w:val="22"/>
          <w:shd w:val="clear" w:color="auto" w:fill="FFFFFF"/>
        </w:rPr>
        <w:t>d</w:t>
      </w:r>
      <w:r w:rsidRPr="00663E19">
        <w:rPr>
          <w:rFonts w:ascii="Arial" w:hAnsi="Arial" w:cs="Arial"/>
          <w:color w:val="000000" w:themeColor="text1"/>
          <w:sz w:val="22"/>
          <w:szCs w:val="22"/>
          <w:shd w:val="clear" w:color="auto" w:fill="FFFFFF"/>
        </w:rPr>
        <w:t xml:space="preserve"> how international 21st century artists explored recent wars </w:t>
      </w:r>
      <w:r w:rsidRPr="00163848">
        <w:rPr>
          <w:rFonts w:ascii="Arial" w:hAnsi="Arial" w:cs="Arial"/>
          <w:color w:val="000000" w:themeColor="text1"/>
          <w:sz w:val="22"/>
          <w:szCs w:val="22"/>
          <w:shd w:val="clear" w:color="auto" w:fill="FFFFFF"/>
        </w:rPr>
        <w:t>to</w:t>
      </w:r>
      <w:r w:rsidRPr="00663E19">
        <w:rPr>
          <w:rFonts w:ascii="Arial" w:hAnsi="Arial" w:cs="Arial"/>
          <w:color w:val="000000" w:themeColor="text1"/>
          <w:sz w:val="22"/>
          <w:szCs w:val="22"/>
          <w:shd w:val="clear" w:color="auto" w:fill="FFFFFF"/>
        </w:rPr>
        <w:t xml:space="preserve"> produce a systematic, art historical account of international 21st century war art. </w:t>
      </w:r>
    </w:p>
    <w:p w14:paraId="2EA72826" w14:textId="77777777" w:rsidR="004171C0" w:rsidRPr="00163848" w:rsidRDefault="004171C0" w:rsidP="004171C0">
      <w:pPr>
        <w:ind w:left="-284" w:right="-330"/>
        <w:rPr>
          <w:rFonts w:ascii="Arial" w:hAnsi="Arial" w:cs="Arial"/>
          <w:color w:val="000000" w:themeColor="text1"/>
          <w:sz w:val="22"/>
          <w:szCs w:val="22"/>
          <w:shd w:val="clear" w:color="auto" w:fill="FFFFFF"/>
        </w:rPr>
      </w:pPr>
    </w:p>
    <w:p w14:paraId="5C7525BC" w14:textId="77777777" w:rsidR="00B46058" w:rsidRDefault="004171C0" w:rsidP="00B46058">
      <w:pPr>
        <w:ind w:left="-284" w:right="-330"/>
        <w:rPr>
          <w:rFonts w:ascii="Arial" w:hAnsi="Arial" w:cs="Arial"/>
          <w:color w:val="000000" w:themeColor="text1"/>
          <w:sz w:val="22"/>
          <w:szCs w:val="22"/>
        </w:rPr>
      </w:pPr>
      <w:r w:rsidRPr="00163848">
        <w:rPr>
          <w:rFonts w:ascii="Arial" w:hAnsi="Arial" w:cs="Arial"/>
          <w:bCs/>
          <w:color w:val="000000" w:themeColor="text1"/>
          <w:sz w:val="22"/>
          <w:szCs w:val="22"/>
        </w:rPr>
        <w:t xml:space="preserve">Gough worked collaboratively with the painters </w:t>
      </w:r>
      <w:r w:rsidRPr="00163848">
        <w:rPr>
          <w:rFonts w:ascii="Arial" w:hAnsi="Arial" w:cs="Arial"/>
          <w:bCs/>
          <w:color w:val="000000" w:themeColor="text1"/>
          <w:sz w:val="22"/>
          <w:szCs w:val="22"/>
          <w:shd w:val="clear" w:color="auto" w:fill="FFFFFF"/>
        </w:rPr>
        <w:t xml:space="preserve">Jon </w:t>
      </w:r>
      <w:proofErr w:type="spellStart"/>
      <w:r w:rsidRPr="00163848">
        <w:rPr>
          <w:rFonts w:ascii="Arial" w:hAnsi="Arial" w:cs="Arial"/>
          <w:bCs/>
          <w:color w:val="000000" w:themeColor="text1"/>
          <w:sz w:val="22"/>
          <w:szCs w:val="22"/>
          <w:shd w:val="clear" w:color="auto" w:fill="FFFFFF"/>
        </w:rPr>
        <w:t>Cattapan</w:t>
      </w:r>
      <w:proofErr w:type="spellEnd"/>
      <w:r w:rsidRPr="00163848">
        <w:rPr>
          <w:rFonts w:ascii="Arial" w:hAnsi="Arial" w:cs="Arial"/>
          <w:bCs/>
          <w:color w:val="000000" w:themeColor="text1"/>
          <w:sz w:val="22"/>
          <w:szCs w:val="22"/>
          <w:shd w:val="clear" w:color="auto" w:fill="FFFFFF"/>
        </w:rPr>
        <w:t>, Charles Green and Lyndell Green [who exhibit as one artists Green &amp; Brown] to co-author a number of publications, undertake fieldwork overseas and in Australia</w:t>
      </w:r>
      <w:r w:rsidR="00B46058">
        <w:rPr>
          <w:rFonts w:ascii="Arial" w:hAnsi="Arial" w:cs="Arial"/>
          <w:bCs/>
          <w:color w:val="000000" w:themeColor="text1"/>
          <w:sz w:val="22"/>
          <w:szCs w:val="22"/>
          <w:shd w:val="clear" w:color="auto" w:fill="FFFFFF"/>
        </w:rPr>
        <w:t xml:space="preserve">. </w:t>
      </w:r>
      <w:r w:rsidR="00B46058" w:rsidRPr="00163848">
        <w:rPr>
          <w:rFonts w:ascii="Arial" w:hAnsi="Arial" w:cs="Arial"/>
          <w:bCs/>
          <w:color w:val="000000" w:themeColor="text1"/>
          <w:sz w:val="22"/>
          <w:szCs w:val="22"/>
          <w:shd w:val="clear" w:color="auto" w:fill="FFFFFF"/>
        </w:rPr>
        <w:t>Through the research grant Gough was able to undertake site work on the former Gallipoli battlefield in Turkey, across the Somme and Flanders battle grounds, and also visit the sites of British Army occupation during the Cold War in the former Western Germany. A suite of photographs taken on this visit to the Rhine was exhibited at the former Australian Centre for Contemporary Art (ACCA) in Melbourne in Spring</w:t>
      </w:r>
      <w:r w:rsidR="00B46058" w:rsidRPr="00163848">
        <w:rPr>
          <w:rFonts w:ascii="Arial" w:hAnsi="Arial" w:cs="Arial"/>
          <w:color w:val="000000" w:themeColor="text1"/>
          <w:sz w:val="22"/>
          <w:szCs w:val="22"/>
          <w:shd w:val="clear" w:color="auto" w:fill="FFFFFF"/>
        </w:rPr>
        <w:t xml:space="preserve"> 2019.</w:t>
      </w:r>
    </w:p>
    <w:p w14:paraId="3FFFE1B0" w14:textId="77777777" w:rsidR="00B46058" w:rsidRDefault="00B46058" w:rsidP="00B46058">
      <w:pPr>
        <w:ind w:left="-284" w:right="-330"/>
        <w:rPr>
          <w:rFonts w:ascii="Arial" w:hAnsi="Arial" w:cs="Arial"/>
          <w:color w:val="000000" w:themeColor="text1"/>
          <w:sz w:val="22"/>
          <w:szCs w:val="22"/>
          <w:shd w:val="clear" w:color="auto" w:fill="FFFFFF"/>
        </w:rPr>
      </w:pPr>
    </w:p>
    <w:p w14:paraId="4A79BDEA" w14:textId="15357CC2" w:rsidR="004171C0" w:rsidRPr="00B46058" w:rsidRDefault="004171C0" w:rsidP="00B46058">
      <w:pPr>
        <w:ind w:left="-284" w:right="-330"/>
        <w:rPr>
          <w:rFonts w:ascii="Arial" w:hAnsi="Arial" w:cs="Arial"/>
          <w:color w:val="000000" w:themeColor="text1"/>
          <w:sz w:val="22"/>
          <w:szCs w:val="22"/>
        </w:rPr>
      </w:pPr>
      <w:r w:rsidRPr="00163848">
        <w:rPr>
          <w:rFonts w:ascii="Arial" w:hAnsi="Arial" w:cs="Arial"/>
          <w:color w:val="000000" w:themeColor="text1"/>
          <w:sz w:val="22"/>
          <w:szCs w:val="22"/>
          <w:shd w:val="clear" w:color="auto" w:fill="FFFFFF"/>
        </w:rPr>
        <w:t xml:space="preserve">ARC Discover Grants are a highly competitive annual funding round with an average success rate of 14%. </w:t>
      </w:r>
      <w:r w:rsidRPr="00663E19">
        <w:rPr>
          <w:rFonts w:ascii="Arial" w:hAnsi="Arial" w:cs="Arial"/>
          <w:color w:val="000000" w:themeColor="text1"/>
          <w:sz w:val="22"/>
          <w:szCs w:val="22"/>
          <w:shd w:val="clear" w:color="auto" w:fill="FFFFFF"/>
        </w:rPr>
        <w:t>The project aim</w:t>
      </w:r>
      <w:r w:rsidRPr="00163848">
        <w:rPr>
          <w:rFonts w:ascii="Arial" w:hAnsi="Arial" w:cs="Arial"/>
          <w:color w:val="000000" w:themeColor="text1"/>
          <w:sz w:val="22"/>
          <w:szCs w:val="22"/>
          <w:shd w:val="clear" w:color="auto" w:fill="FFFFFF"/>
        </w:rPr>
        <w:t>ed</w:t>
      </w:r>
      <w:r w:rsidRPr="00663E19">
        <w:rPr>
          <w:rFonts w:ascii="Arial" w:hAnsi="Arial" w:cs="Arial"/>
          <w:color w:val="000000" w:themeColor="text1"/>
          <w:sz w:val="22"/>
          <w:szCs w:val="22"/>
          <w:shd w:val="clear" w:color="auto" w:fill="FFFFFF"/>
        </w:rPr>
        <w:t xml:space="preserve"> to provide a better understanding of Australia’s heritage and of war art</w:t>
      </w:r>
      <w:r w:rsidRPr="00163848">
        <w:rPr>
          <w:rFonts w:ascii="Arial" w:hAnsi="Arial" w:cs="Arial"/>
          <w:color w:val="000000" w:themeColor="text1"/>
          <w:sz w:val="22"/>
          <w:szCs w:val="22"/>
          <w:shd w:val="clear" w:color="auto" w:fill="FFFFFF"/>
        </w:rPr>
        <w:t xml:space="preserve">, and was realised through this exhibition, publications and commissions, such as the tapestry </w:t>
      </w:r>
      <w:r w:rsidRPr="00163848">
        <w:rPr>
          <w:rFonts w:ascii="Arial" w:hAnsi="Arial" w:cs="Arial"/>
          <w:i/>
          <w:iCs/>
          <w:color w:val="000000" w:themeColor="text1"/>
          <w:sz w:val="22"/>
          <w:szCs w:val="22"/>
          <w:shd w:val="clear" w:color="auto" w:fill="FFFFFF"/>
        </w:rPr>
        <w:t>Morning Star</w:t>
      </w:r>
      <w:r w:rsidRPr="00163848">
        <w:rPr>
          <w:rFonts w:ascii="Arial" w:hAnsi="Arial" w:cs="Arial"/>
          <w:color w:val="000000" w:themeColor="text1"/>
          <w:sz w:val="22"/>
          <w:szCs w:val="22"/>
          <w:shd w:val="clear" w:color="auto" w:fill="FFFFFF"/>
        </w:rPr>
        <w:t xml:space="preserve"> created by </w:t>
      </w:r>
      <w:r w:rsidRPr="00163848">
        <w:rPr>
          <w:rFonts w:ascii="Arial" w:hAnsi="Arial" w:cs="Arial"/>
          <w:bCs/>
          <w:color w:val="000000" w:themeColor="text1"/>
          <w:sz w:val="22"/>
          <w:szCs w:val="22"/>
          <w:shd w:val="clear" w:color="auto" w:fill="FFFFFF"/>
        </w:rPr>
        <w:t>Green &amp; Brown for the Sir John Monash Centre on the Somme, France, which was critiqued in ‘</w:t>
      </w:r>
      <w:r w:rsidRPr="00163848">
        <w:rPr>
          <w:rFonts w:ascii="Arial" w:hAnsi="Arial" w:cs="Arial"/>
          <w:color w:val="000000" w:themeColor="text1"/>
          <w:kern w:val="36"/>
          <w:sz w:val="22"/>
          <w:szCs w:val="22"/>
        </w:rPr>
        <w:t>Centenary: Aftermath in the Visual Arts’ in</w:t>
      </w:r>
      <w:r w:rsidRPr="00163848">
        <w:rPr>
          <w:rFonts w:ascii="Arial" w:hAnsi="Arial" w:cs="Arial"/>
          <w:i/>
          <w:iCs/>
          <w:color w:val="000000" w:themeColor="text1"/>
          <w:kern w:val="36"/>
          <w:sz w:val="22"/>
          <w:szCs w:val="22"/>
        </w:rPr>
        <w:t xml:space="preserve"> 1914-1918 International </w:t>
      </w:r>
      <w:proofErr w:type="spellStart"/>
      <w:r w:rsidRPr="00163848">
        <w:rPr>
          <w:rFonts w:ascii="Arial" w:hAnsi="Arial" w:cs="Arial"/>
          <w:i/>
          <w:iCs/>
          <w:color w:val="000000" w:themeColor="text1"/>
          <w:kern w:val="36"/>
          <w:sz w:val="22"/>
          <w:szCs w:val="22"/>
        </w:rPr>
        <w:t>Encyclopedia</w:t>
      </w:r>
      <w:proofErr w:type="spellEnd"/>
      <w:r w:rsidRPr="00163848">
        <w:rPr>
          <w:rFonts w:ascii="Arial" w:hAnsi="Arial" w:cs="Arial"/>
          <w:i/>
          <w:iCs/>
          <w:color w:val="000000" w:themeColor="text1"/>
          <w:kern w:val="36"/>
          <w:sz w:val="22"/>
          <w:szCs w:val="22"/>
        </w:rPr>
        <w:t xml:space="preserve"> of the First World War</w:t>
      </w:r>
      <w:r w:rsidRPr="00163848">
        <w:rPr>
          <w:rFonts w:ascii="Arial" w:hAnsi="Arial" w:cs="Arial"/>
          <w:color w:val="000000" w:themeColor="text1"/>
          <w:kern w:val="36"/>
          <w:sz w:val="22"/>
          <w:szCs w:val="22"/>
        </w:rPr>
        <w:t xml:space="preserve">, commissioned from Gough for the peer-reviewed online resource co-ordinated by the </w:t>
      </w:r>
      <w:proofErr w:type="spellStart"/>
      <w:r w:rsidRPr="00163848">
        <w:rPr>
          <w:rFonts w:ascii="Arial" w:hAnsi="Arial" w:cs="Arial"/>
          <w:color w:val="000000" w:themeColor="text1"/>
          <w:kern w:val="36"/>
          <w:sz w:val="22"/>
          <w:szCs w:val="22"/>
        </w:rPr>
        <w:t>Freie</w:t>
      </w:r>
      <w:proofErr w:type="spellEnd"/>
      <w:r w:rsidRPr="00163848">
        <w:rPr>
          <w:rFonts w:ascii="Arial" w:hAnsi="Arial" w:cs="Arial"/>
          <w:color w:val="000000" w:themeColor="text1"/>
          <w:kern w:val="36"/>
          <w:sz w:val="22"/>
          <w:szCs w:val="22"/>
        </w:rPr>
        <w:t xml:space="preserve"> </w:t>
      </w:r>
      <w:proofErr w:type="spellStart"/>
      <w:r w:rsidRPr="00163848">
        <w:rPr>
          <w:rFonts w:ascii="Arial" w:hAnsi="Arial" w:cs="Arial"/>
          <w:color w:val="000000" w:themeColor="text1"/>
          <w:kern w:val="36"/>
          <w:sz w:val="22"/>
          <w:szCs w:val="22"/>
        </w:rPr>
        <w:t>Universitat</w:t>
      </w:r>
      <w:proofErr w:type="spellEnd"/>
      <w:r w:rsidRPr="00163848">
        <w:rPr>
          <w:rFonts w:ascii="Arial" w:hAnsi="Arial" w:cs="Arial"/>
          <w:color w:val="000000" w:themeColor="text1"/>
          <w:kern w:val="36"/>
          <w:sz w:val="22"/>
          <w:szCs w:val="22"/>
        </w:rPr>
        <w:t>, Berlin.</w:t>
      </w:r>
    </w:p>
    <w:p w14:paraId="3B778EE7" w14:textId="77777777" w:rsidR="004171C0" w:rsidRDefault="004171C0" w:rsidP="004171C0">
      <w:pPr>
        <w:ind w:left="-284" w:right="-330"/>
        <w:rPr>
          <w:rFonts w:ascii="Arial" w:hAnsi="Arial" w:cs="Arial"/>
          <w:color w:val="000000"/>
          <w:kern w:val="36"/>
        </w:rPr>
      </w:pPr>
    </w:p>
    <w:p w14:paraId="7C1F0F5D" w14:textId="77777777" w:rsidR="00E85617" w:rsidRDefault="00E85617" w:rsidP="00E85617">
      <w:pPr>
        <w:rPr>
          <w:rFonts w:ascii="Arial" w:hAnsi="Arial" w:cs="Arial"/>
          <w:color w:val="000000"/>
          <w:kern w:val="36"/>
        </w:rPr>
      </w:pPr>
    </w:p>
    <w:p w14:paraId="4E62DA45" w14:textId="532CE376" w:rsidR="00E85617" w:rsidRPr="00163848" w:rsidRDefault="00E85617" w:rsidP="00E85617">
      <w:pPr>
        <w:rPr>
          <w:rFonts w:ascii="Arial" w:hAnsi="Arial" w:cs="Arial"/>
          <w:sz w:val="22"/>
          <w:szCs w:val="22"/>
        </w:rPr>
      </w:pPr>
      <w:r w:rsidRPr="00163848">
        <w:rPr>
          <w:rFonts w:ascii="Arial" w:hAnsi="Arial" w:cs="Arial"/>
          <w:sz w:val="22"/>
          <w:szCs w:val="22"/>
        </w:rPr>
        <w:t>Exhibition, catalogue and symposium derived from major Australian Research Council Grant, 2017-19, Melbourne, Australia</w:t>
      </w:r>
    </w:p>
    <w:p w14:paraId="415C5904" w14:textId="77777777" w:rsidR="00E85617" w:rsidRPr="00163848" w:rsidRDefault="00E85617" w:rsidP="00E85617">
      <w:pPr>
        <w:rPr>
          <w:rFonts w:ascii="Arial" w:hAnsi="Arial" w:cs="Arial"/>
          <w:sz w:val="22"/>
          <w:szCs w:val="22"/>
        </w:rPr>
      </w:pPr>
    </w:p>
    <w:p w14:paraId="0ECFC107" w14:textId="77777777" w:rsidR="00E85617" w:rsidRPr="00E85617" w:rsidRDefault="00E85617" w:rsidP="00E85617">
      <w:pPr>
        <w:rPr>
          <w:rFonts w:ascii="Arial" w:hAnsi="Arial" w:cs="Arial"/>
          <w:color w:val="000000" w:themeColor="text1"/>
          <w:sz w:val="22"/>
          <w:szCs w:val="22"/>
        </w:rPr>
      </w:pPr>
      <w:r w:rsidRPr="00E85617">
        <w:rPr>
          <w:rFonts w:ascii="Arial" w:hAnsi="Arial" w:cs="Arial"/>
          <w:i/>
          <w:color w:val="000000" w:themeColor="text1"/>
          <w:sz w:val="22"/>
          <w:szCs w:val="22"/>
          <w:bdr w:val="none" w:sz="0" w:space="0" w:color="auto" w:frame="1"/>
          <w:shd w:val="clear" w:color="auto" w:fill="FFFFFF"/>
        </w:rPr>
        <w:t>Turbulence, Conflict and the Garden of Remediation</w:t>
      </w:r>
      <w:r w:rsidRPr="00E85617">
        <w:rPr>
          <w:rFonts w:ascii="Arial" w:hAnsi="Arial" w:cs="Arial"/>
          <w:color w:val="000000" w:themeColor="text1"/>
          <w:sz w:val="22"/>
          <w:szCs w:val="22"/>
          <w:bdr w:val="none" w:sz="0" w:space="0" w:color="auto" w:frame="1"/>
          <w:shd w:val="clear" w:color="auto" w:fill="FFFFFF"/>
        </w:rPr>
        <w:t xml:space="preserve">, Charles Green, Lyndell Brown, Paul Gough and Jon </w:t>
      </w:r>
      <w:proofErr w:type="spellStart"/>
      <w:r w:rsidRPr="00E85617">
        <w:rPr>
          <w:rFonts w:ascii="Arial" w:hAnsi="Arial" w:cs="Arial"/>
          <w:color w:val="000000" w:themeColor="text1"/>
          <w:sz w:val="22"/>
          <w:szCs w:val="22"/>
          <w:bdr w:val="none" w:sz="0" w:space="0" w:color="auto" w:frame="1"/>
          <w:shd w:val="clear" w:color="auto" w:fill="FFFFFF"/>
        </w:rPr>
        <w:t>Cattapan</w:t>
      </w:r>
      <w:proofErr w:type="spellEnd"/>
      <w:r w:rsidRPr="00E85617">
        <w:rPr>
          <w:rFonts w:ascii="Arial" w:hAnsi="Arial" w:cs="Arial"/>
          <w:color w:val="000000" w:themeColor="text1"/>
          <w:sz w:val="22"/>
          <w:szCs w:val="22"/>
          <w:bdr w:val="none" w:sz="0" w:space="0" w:color="auto" w:frame="1"/>
          <w:shd w:val="clear" w:color="auto" w:fill="FFFFFF"/>
        </w:rPr>
        <w:t>, Domain House Gallery, formerly Australian Centre for Contemporary Art, Melbourne, October – November 2019</w:t>
      </w:r>
    </w:p>
    <w:p w14:paraId="2E8D52B5" w14:textId="77777777" w:rsidR="004171C0" w:rsidRPr="00E85617" w:rsidRDefault="004171C0">
      <w:pPr>
        <w:rPr>
          <w:color w:val="000000" w:themeColor="text1"/>
        </w:rPr>
      </w:pPr>
    </w:p>
    <w:sectPr w:rsidR="004171C0" w:rsidRPr="00E85617" w:rsidSect="008957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C0"/>
    <w:rsid w:val="00280AAA"/>
    <w:rsid w:val="004171C0"/>
    <w:rsid w:val="008957AE"/>
    <w:rsid w:val="00B46058"/>
    <w:rsid w:val="00B645D6"/>
    <w:rsid w:val="00E85617"/>
    <w:rsid w:val="00F0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487EAE"/>
  <w15:chartTrackingRefBased/>
  <w15:docId w15:val="{092EC66E-4B26-1C47-A280-BDD9813F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61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1275">
      <w:bodyDiv w:val="1"/>
      <w:marLeft w:val="0"/>
      <w:marRight w:val="0"/>
      <w:marTop w:val="0"/>
      <w:marBottom w:val="0"/>
      <w:divBdr>
        <w:top w:val="none" w:sz="0" w:space="0" w:color="auto"/>
        <w:left w:val="none" w:sz="0" w:space="0" w:color="auto"/>
        <w:bottom w:val="none" w:sz="0" w:space="0" w:color="auto"/>
        <w:right w:val="none" w:sz="0" w:space="0" w:color="auto"/>
      </w:divBdr>
      <w:divsChild>
        <w:div w:id="922758207">
          <w:marLeft w:val="0"/>
          <w:marRight w:val="0"/>
          <w:marTop w:val="0"/>
          <w:marBottom w:val="0"/>
          <w:divBdr>
            <w:top w:val="none" w:sz="0" w:space="0" w:color="auto"/>
            <w:left w:val="none" w:sz="0" w:space="0" w:color="auto"/>
            <w:bottom w:val="none" w:sz="0" w:space="0" w:color="auto"/>
            <w:right w:val="none" w:sz="0" w:space="0" w:color="auto"/>
          </w:divBdr>
          <w:divsChild>
            <w:div w:id="876238038">
              <w:marLeft w:val="0"/>
              <w:marRight w:val="0"/>
              <w:marTop w:val="0"/>
              <w:marBottom w:val="0"/>
              <w:divBdr>
                <w:top w:val="none" w:sz="0" w:space="0" w:color="auto"/>
                <w:left w:val="none" w:sz="0" w:space="0" w:color="auto"/>
                <w:bottom w:val="none" w:sz="0" w:space="0" w:color="auto"/>
                <w:right w:val="none" w:sz="0" w:space="0" w:color="auto"/>
              </w:divBdr>
              <w:divsChild>
                <w:div w:id="769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Gough</dc:creator>
  <cp:keywords/>
  <dc:description/>
  <cp:lastModifiedBy>Paul Gough</cp:lastModifiedBy>
  <cp:revision>6</cp:revision>
  <dcterms:created xsi:type="dcterms:W3CDTF">2020-10-09T12:38:00Z</dcterms:created>
  <dcterms:modified xsi:type="dcterms:W3CDTF">2020-10-09T12:45:00Z</dcterms:modified>
</cp:coreProperties>
</file>